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45F" w:rsidRDefault="0024545F" w:rsidP="0024545F">
      <w:pPr>
        <w:jc w:val="right"/>
        <w:rPr>
          <w:b/>
          <w:lang w:val="it-IT"/>
        </w:rPr>
      </w:pPr>
      <w:r>
        <w:rPr>
          <w:b/>
          <w:lang w:val="it-IT"/>
        </w:rPr>
        <w:t>Prospetto di offerta economica</w:t>
      </w:r>
    </w:p>
    <w:p w:rsidR="0024545F" w:rsidRDefault="0024545F" w:rsidP="004573D8">
      <w:pPr>
        <w:jc w:val="center"/>
        <w:rPr>
          <w:b/>
          <w:lang w:val="it-IT"/>
        </w:rPr>
      </w:pPr>
    </w:p>
    <w:p w:rsidR="004573D8" w:rsidRDefault="004573D8" w:rsidP="004573D8">
      <w:pPr>
        <w:jc w:val="center"/>
        <w:rPr>
          <w:b/>
          <w:lang w:val="it-IT"/>
        </w:rPr>
      </w:pPr>
      <w:r w:rsidRPr="004573D8">
        <w:rPr>
          <w:b/>
          <w:lang w:val="it-IT"/>
        </w:rPr>
        <w:t>PROCEDURA APERTA PER L’AFFIDAMENTO DEL SERVIZIO DI TESORERIA</w:t>
      </w:r>
      <w:r w:rsidR="00D611EC">
        <w:rPr>
          <w:b/>
          <w:lang w:val="it-IT"/>
        </w:rPr>
        <w:t xml:space="preserve"> OCCORRENTE ALL’ASL VC</w:t>
      </w:r>
    </w:p>
    <w:p w:rsidR="00D611EC" w:rsidRPr="004573D8" w:rsidRDefault="00D611EC" w:rsidP="004573D8">
      <w:pPr>
        <w:jc w:val="center"/>
        <w:rPr>
          <w:b/>
          <w:lang w:val="it-IT"/>
        </w:rPr>
      </w:pPr>
      <w:bookmarkStart w:id="0" w:name="_GoBack"/>
      <w:bookmarkEnd w:id="0"/>
    </w:p>
    <w:p w:rsidR="004573D8" w:rsidRDefault="004573D8" w:rsidP="004573D8">
      <w:pPr>
        <w:jc w:val="center"/>
        <w:rPr>
          <w:b/>
          <w:lang w:val="it-IT"/>
        </w:rPr>
      </w:pPr>
      <w:r w:rsidRPr="004573D8">
        <w:rPr>
          <w:b/>
          <w:lang w:val="it-IT"/>
        </w:rPr>
        <w:t>OFFERTA ECONOMICA</w:t>
      </w:r>
    </w:p>
    <w:p w:rsidR="004573D8" w:rsidRDefault="004573D8" w:rsidP="004573D8">
      <w:pPr>
        <w:jc w:val="center"/>
        <w:rPr>
          <w:b/>
          <w:lang w:val="it-IT"/>
        </w:rPr>
      </w:pPr>
    </w:p>
    <w:p w:rsidR="004573D8" w:rsidRPr="004573D8" w:rsidRDefault="004573D8" w:rsidP="004573D8">
      <w:pPr>
        <w:jc w:val="center"/>
        <w:rPr>
          <w:b/>
          <w:lang w:val="it-IT"/>
        </w:rPr>
      </w:pPr>
    </w:p>
    <w:p w:rsidR="004573D8" w:rsidRDefault="004573D8">
      <w:pPr>
        <w:rPr>
          <w:lang w:val="it-IT"/>
        </w:rPr>
      </w:pPr>
      <w:r>
        <w:rPr>
          <w:lang w:val="it-IT"/>
        </w:rPr>
        <w:t>Denominazione Istituto di Credito _________________________________________________________</w:t>
      </w:r>
    </w:p>
    <w:p w:rsidR="0024545F" w:rsidRDefault="0024545F">
      <w:pPr>
        <w:rPr>
          <w:lang w:val="it-IT"/>
        </w:rPr>
      </w:pPr>
    </w:p>
    <w:p w:rsidR="0024545F" w:rsidRDefault="0024545F" w:rsidP="0024545F">
      <w:pPr>
        <w:autoSpaceDE w:val="0"/>
        <w:autoSpaceDN w:val="0"/>
        <w:adjustRightInd w:val="0"/>
        <w:jc w:val="both"/>
      </w:pPr>
    </w:p>
    <w:p w:rsidR="0024545F" w:rsidRDefault="0024545F" w:rsidP="0024545F">
      <w:pPr>
        <w:autoSpaceDE w:val="0"/>
        <w:autoSpaceDN w:val="0"/>
        <w:adjustRightInd w:val="0"/>
        <w:jc w:val="both"/>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6532"/>
        <w:gridCol w:w="2279"/>
        <w:gridCol w:w="1671"/>
      </w:tblGrid>
      <w:tr w:rsidR="00F21BB2" w:rsidRPr="00D53DF2" w:rsidTr="00F21BB2">
        <w:trPr>
          <w:jc w:val="center"/>
        </w:trPr>
        <w:tc>
          <w:tcPr>
            <w:tcW w:w="570" w:type="dxa"/>
          </w:tcPr>
          <w:p w:rsidR="00F21BB2" w:rsidRPr="0006492F" w:rsidRDefault="00F21BB2" w:rsidP="00332895">
            <w:pPr>
              <w:pStyle w:val="Paragrafoelenco1"/>
              <w:spacing w:after="0" w:line="240" w:lineRule="auto"/>
              <w:ind w:left="0"/>
              <w:jc w:val="center"/>
              <w:rPr>
                <w:rFonts w:ascii="Times New Roman" w:hAnsi="Times New Roman"/>
                <w:b/>
              </w:rPr>
            </w:pPr>
            <w:r w:rsidRPr="0006492F">
              <w:rPr>
                <w:rFonts w:ascii="Times New Roman" w:hAnsi="Times New Roman"/>
                <w:b/>
              </w:rPr>
              <w:t>N.</w:t>
            </w:r>
          </w:p>
        </w:tc>
        <w:tc>
          <w:tcPr>
            <w:tcW w:w="6532" w:type="dxa"/>
          </w:tcPr>
          <w:p w:rsidR="00F21BB2" w:rsidRPr="0006492F" w:rsidRDefault="00F21BB2" w:rsidP="00332895">
            <w:pPr>
              <w:pStyle w:val="Paragrafoelenco1"/>
              <w:spacing w:after="0" w:line="240" w:lineRule="auto"/>
              <w:ind w:left="0"/>
              <w:jc w:val="center"/>
              <w:rPr>
                <w:rFonts w:ascii="Times New Roman" w:hAnsi="Times New Roman"/>
                <w:b/>
              </w:rPr>
            </w:pPr>
            <w:r w:rsidRPr="0006492F">
              <w:rPr>
                <w:rFonts w:ascii="Times New Roman" w:hAnsi="Times New Roman"/>
                <w:b/>
              </w:rPr>
              <w:t>Criterio</w:t>
            </w:r>
          </w:p>
        </w:tc>
        <w:tc>
          <w:tcPr>
            <w:tcW w:w="2279" w:type="dxa"/>
          </w:tcPr>
          <w:p w:rsidR="00F21BB2" w:rsidRPr="0006492F" w:rsidRDefault="00F21BB2" w:rsidP="00332895">
            <w:pPr>
              <w:pStyle w:val="Paragrafoelenco1"/>
              <w:spacing w:after="0" w:line="240" w:lineRule="auto"/>
              <w:ind w:left="0"/>
              <w:jc w:val="center"/>
              <w:rPr>
                <w:rFonts w:ascii="Times New Roman" w:hAnsi="Times New Roman"/>
                <w:b/>
              </w:rPr>
            </w:pPr>
            <w:r w:rsidRPr="0006492F">
              <w:rPr>
                <w:rFonts w:ascii="Times New Roman" w:hAnsi="Times New Roman"/>
                <w:b/>
              </w:rPr>
              <w:t>Punteggio Massimo</w:t>
            </w:r>
          </w:p>
        </w:tc>
        <w:tc>
          <w:tcPr>
            <w:tcW w:w="1671" w:type="dxa"/>
          </w:tcPr>
          <w:p w:rsidR="00F21BB2" w:rsidRPr="0006492F" w:rsidRDefault="00F21BB2" w:rsidP="00332895">
            <w:pPr>
              <w:pStyle w:val="Paragrafoelenco1"/>
              <w:spacing w:after="0" w:line="240" w:lineRule="auto"/>
              <w:ind w:left="0"/>
              <w:jc w:val="center"/>
              <w:rPr>
                <w:rFonts w:ascii="Times New Roman" w:hAnsi="Times New Roman"/>
                <w:b/>
              </w:rPr>
            </w:pPr>
            <w:r>
              <w:rPr>
                <w:rFonts w:ascii="Times New Roman" w:hAnsi="Times New Roman"/>
                <w:b/>
              </w:rPr>
              <w:t>Valore</w:t>
            </w:r>
          </w:p>
        </w:tc>
      </w:tr>
      <w:tr w:rsidR="00F21BB2" w:rsidRPr="00D53DF2" w:rsidTr="00F21BB2">
        <w:trPr>
          <w:jc w:val="center"/>
        </w:trPr>
        <w:tc>
          <w:tcPr>
            <w:tcW w:w="570"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rFonts w:ascii="Times New Roman" w:hAnsi="Times New Roman"/>
                <w:sz w:val="21"/>
                <w:szCs w:val="21"/>
              </w:rPr>
              <w:t>1</w:t>
            </w:r>
          </w:p>
        </w:tc>
        <w:tc>
          <w:tcPr>
            <w:tcW w:w="6532" w:type="dxa"/>
          </w:tcPr>
          <w:p w:rsidR="00F21BB2" w:rsidRPr="0006492F" w:rsidRDefault="00F21BB2" w:rsidP="00332895">
            <w:pPr>
              <w:pStyle w:val="Paragrafoelenco1"/>
              <w:spacing w:after="0" w:line="240" w:lineRule="auto"/>
              <w:ind w:left="0"/>
              <w:jc w:val="both"/>
              <w:rPr>
                <w:rFonts w:ascii="Times New Roman" w:hAnsi="Times New Roman"/>
                <w:sz w:val="21"/>
                <w:szCs w:val="21"/>
              </w:rPr>
            </w:pPr>
            <w:r w:rsidRPr="0006492F">
              <w:rPr>
                <w:rFonts w:ascii="Times New Roman" w:hAnsi="Times New Roman"/>
                <w:sz w:val="21"/>
                <w:szCs w:val="21"/>
              </w:rPr>
              <w:t>Tasso unico a debito per l’eventuale ricorso all’anticipazione ordinaria e straordinaria di cassa, con riferimento a un indebitamento massimo autorizzato stimato in euro 29.000.000 e un utilizzo medio annuo stimato di euro 200.000: sulle eventuali anticipazioni di cassa verrà applicato il tasso determinato con riferimento all’indice Euribor a tre mesi maggiorato della percentuale offerta.</w:t>
            </w:r>
          </w:p>
        </w:tc>
        <w:tc>
          <w:tcPr>
            <w:tcW w:w="2279" w:type="dxa"/>
            <w:vAlign w:val="center"/>
          </w:tcPr>
          <w:p w:rsidR="00F21BB2" w:rsidRPr="0006492F" w:rsidRDefault="00F21BB2" w:rsidP="00F21BB2">
            <w:pPr>
              <w:pStyle w:val="Paragrafoelenco1"/>
              <w:spacing w:after="0" w:line="240" w:lineRule="auto"/>
              <w:ind w:left="0"/>
              <w:rPr>
                <w:rFonts w:ascii="Times New Roman" w:hAnsi="Times New Roman"/>
                <w:sz w:val="21"/>
                <w:szCs w:val="21"/>
              </w:rPr>
            </w:pPr>
            <w:r>
              <w:rPr>
                <w:rFonts w:ascii="Times New Roman" w:hAnsi="Times New Roman"/>
                <w:sz w:val="21"/>
                <w:szCs w:val="21"/>
              </w:rPr>
              <w:t xml:space="preserve">       </w:t>
            </w:r>
            <w:r w:rsidRPr="0006492F">
              <w:rPr>
                <w:rFonts w:ascii="Times New Roman" w:hAnsi="Times New Roman"/>
                <w:sz w:val="21"/>
                <w:szCs w:val="21"/>
              </w:rPr>
              <w:t>Tasso unico</w:t>
            </w:r>
          </w:p>
        </w:tc>
        <w:tc>
          <w:tcPr>
            <w:tcW w:w="1671" w:type="dxa"/>
          </w:tcPr>
          <w:p w:rsidR="00F21BB2" w:rsidRPr="0006492F" w:rsidRDefault="00F21BB2" w:rsidP="00F21BB2">
            <w:pPr>
              <w:pStyle w:val="Paragrafoelenco1"/>
              <w:spacing w:after="0" w:line="240" w:lineRule="auto"/>
              <w:ind w:left="0"/>
              <w:rPr>
                <w:rFonts w:ascii="Times New Roman" w:hAnsi="Times New Roman"/>
                <w:sz w:val="21"/>
                <w:szCs w:val="21"/>
              </w:rPr>
            </w:pPr>
          </w:p>
        </w:tc>
      </w:tr>
      <w:tr w:rsidR="00F21BB2" w:rsidRPr="00D53DF2" w:rsidTr="00F21BB2">
        <w:trPr>
          <w:jc w:val="center"/>
        </w:trPr>
        <w:tc>
          <w:tcPr>
            <w:tcW w:w="570"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rFonts w:ascii="Times New Roman" w:hAnsi="Times New Roman"/>
                <w:sz w:val="21"/>
                <w:szCs w:val="21"/>
              </w:rPr>
              <w:t>2</w:t>
            </w:r>
          </w:p>
        </w:tc>
        <w:tc>
          <w:tcPr>
            <w:tcW w:w="6532" w:type="dxa"/>
          </w:tcPr>
          <w:p w:rsidR="00F21BB2" w:rsidRPr="0006492F" w:rsidRDefault="00F21BB2" w:rsidP="00332895">
            <w:pPr>
              <w:pStyle w:val="Paragrafoelenco1"/>
              <w:spacing w:after="0" w:line="240" w:lineRule="auto"/>
              <w:ind w:left="0"/>
              <w:jc w:val="both"/>
              <w:rPr>
                <w:rFonts w:ascii="Times New Roman" w:hAnsi="Times New Roman"/>
                <w:sz w:val="21"/>
                <w:szCs w:val="21"/>
              </w:rPr>
            </w:pPr>
            <w:r w:rsidRPr="0006492F">
              <w:rPr>
                <w:rFonts w:ascii="Times New Roman" w:hAnsi="Times New Roman"/>
                <w:sz w:val="21"/>
                <w:szCs w:val="21"/>
              </w:rPr>
              <w:t>Rimborso spese forfettario per la gestione degli ordinativi di pagamento e di riscossione elettronici, con riferimento a un numero complessivo di 40.000 documenti; ogni anno verrà riconosciuto l’importo offerto.</w:t>
            </w:r>
          </w:p>
        </w:tc>
        <w:tc>
          <w:tcPr>
            <w:tcW w:w="2279"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rFonts w:ascii="Times New Roman" w:hAnsi="Times New Roman"/>
                <w:sz w:val="21"/>
                <w:szCs w:val="21"/>
              </w:rPr>
              <w:t>Importo annuale</w:t>
            </w:r>
          </w:p>
        </w:tc>
        <w:tc>
          <w:tcPr>
            <w:tcW w:w="1671" w:type="dxa"/>
          </w:tcPr>
          <w:p w:rsidR="00F21BB2" w:rsidRDefault="00F21BB2" w:rsidP="00332895">
            <w:pPr>
              <w:pStyle w:val="Paragrafoelenco1"/>
              <w:spacing w:after="0" w:line="240" w:lineRule="auto"/>
              <w:ind w:left="0"/>
              <w:jc w:val="center"/>
              <w:rPr>
                <w:rFonts w:ascii="Times New Roman" w:hAnsi="Times New Roman"/>
                <w:sz w:val="21"/>
                <w:szCs w:val="21"/>
              </w:rPr>
            </w:pPr>
          </w:p>
        </w:tc>
      </w:tr>
      <w:tr w:rsidR="00F21BB2" w:rsidRPr="00D53DF2" w:rsidTr="00F21BB2">
        <w:trPr>
          <w:jc w:val="center"/>
        </w:trPr>
        <w:tc>
          <w:tcPr>
            <w:tcW w:w="570"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rFonts w:ascii="Times New Roman" w:hAnsi="Times New Roman"/>
                <w:sz w:val="21"/>
                <w:szCs w:val="21"/>
              </w:rPr>
              <w:t>3</w:t>
            </w:r>
          </w:p>
        </w:tc>
        <w:tc>
          <w:tcPr>
            <w:tcW w:w="6532" w:type="dxa"/>
          </w:tcPr>
          <w:p w:rsidR="00F21BB2" w:rsidRPr="0006492F" w:rsidRDefault="00F21BB2" w:rsidP="00332895">
            <w:pPr>
              <w:pStyle w:val="Paragrafoelenco1"/>
              <w:spacing w:after="0" w:line="240" w:lineRule="auto"/>
              <w:ind w:left="0"/>
              <w:jc w:val="both"/>
              <w:rPr>
                <w:rFonts w:ascii="Times New Roman" w:hAnsi="Times New Roman"/>
                <w:sz w:val="21"/>
                <w:szCs w:val="21"/>
              </w:rPr>
            </w:pPr>
            <w:r w:rsidRPr="0006492F">
              <w:rPr>
                <w:rFonts w:ascii="Times New Roman" w:hAnsi="Times New Roman"/>
                <w:sz w:val="21"/>
                <w:szCs w:val="21"/>
              </w:rPr>
              <w:t>Canone mensile del P.O.S. fissi; per ogni apparecchio installato verrà riconosciuto il canone mensile offerto.</w:t>
            </w:r>
          </w:p>
        </w:tc>
        <w:tc>
          <w:tcPr>
            <w:tcW w:w="2279"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rFonts w:ascii="Times New Roman" w:hAnsi="Times New Roman"/>
                <w:sz w:val="21"/>
                <w:szCs w:val="21"/>
              </w:rPr>
              <w:t>Canone mensile</w:t>
            </w:r>
          </w:p>
        </w:tc>
        <w:tc>
          <w:tcPr>
            <w:tcW w:w="1671" w:type="dxa"/>
          </w:tcPr>
          <w:p w:rsidR="00F21BB2" w:rsidRDefault="00F21BB2" w:rsidP="00332895">
            <w:pPr>
              <w:pStyle w:val="Paragrafoelenco1"/>
              <w:spacing w:after="0" w:line="240" w:lineRule="auto"/>
              <w:ind w:left="0"/>
              <w:jc w:val="center"/>
              <w:rPr>
                <w:rFonts w:ascii="Times New Roman" w:hAnsi="Times New Roman"/>
                <w:sz w:val="21"/>
                <w:szCs w:val="21"/>
              </w:rPr>
            </w:pPr>
          </w:p>
        </w:tc>
      </w:tr>
      <w:tr w:rsidR="00F21BB2" w:rsidRPr="00D53DF2" w:rsidTr="00F21BB2">
        <w:trPr>
          <w:jc w:val="center"/>
        </w:trPr>
        <w:tc>
          <w:tcPr>
            <w:tcW w:w="570"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rFonts w:ascii="Times New Roman" w:hAnsi="Times New Roman"/>
                <w:sz w:val="21"/>
                <w:szCs w:val="21"/>
              </w:rPr>
              <w:t>4</w:t>
            </w:r>
          </w:p>
        </w:tc>
        <w:tc>
          <w:tcPr>
            <w:tcW w:w="6532" w:type="dxa"/>
          </w:tcPr>
          <w:p w:rsidR="00F21BB2" w:rsidRPr="0006492F" w:rsidRDefault="00F21BB2" w:rsidP="00332895">
            <w:pPr>
              <w:pStyle w:val="Paragrafoelenco1"/>
              <w:spacing w:after="0" w:line="240" w:lineRule="auto"/>
              <w:ind w:left="0"/>
              <w:jc w:val="both"/>
              <w:rPr>
                <w:rFonts w:ascii="Times New Roman" w:hAnsi="Times New Roman"/>
                <w:sz w:val="21"/>
                <w:szCs w:val="21"/>
              </w:rPr>
            </w:pPr>
            <w:r w:rsidRPr="0006492F">
              <w:rPr>
                <w:rFonts w:ascii="Times New Roman" w:hAnsi="Times New Roman"/>
                <w:sz w:val="21"/>
                <w:szCs w:val="21"/>
              </w:rPr>
              <w:t>Canone mensile del P.O.S. cordless; per ogni apparecchio installato verrà riconosciuto il canone mensile offerto.</w:t>
            </w:r>
          </w:p>
        </w:tc>
        <w:tc>
          <w:tcPr>
            <w:tcW w:w="2279"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rFonts w:ascii="Times New Roman" w:hAnsi="Times New Roman"/>
                <w:sz w:val="21"/>
                <w:szCs w:val="21"/>
              </w:rPr>
              <w:t>Canone mensile</w:t>
            </w:r>
          </w:p>
        </w:tc>
        <w:tc>
          <w:tcPr>
            <w:tcW w:w="1671" w:type="dxa"/>
          </w:tcPr>
          <w:p w:rsidR="00F21BB2" w:rsidRDefault="00F21BB2" w:rsidP="00332895">
            <w:pPr>
              <w:pStyle w:val="Paragrafoelenco1"/>
              <w:spacing w:after="0" w:line="240" w:lineRule="auto"/>
              <w:ind w:left="0"/>
              <w:jc w:val="center"/>
              <w:rPr>
                <w:rFonts w:ascii="Times New Roman" w:hAnsi="Times New Roman"/>
                <w:sz w:val="21"/>
                <w:szCs w:val="21"/>
              </w:rPr>
            </w:pPr>
          </w:p>
        </w:tc>
      </w:tr>
      <w:tr w:rsidR="00F21BB2" w:rsidRPr="00D53DF2" w:rsidTr="00F21BB2">
        <w:trPr>
          <w:jc w:val="center"/>
        </w:trPr>
        <w:tc>
          <w:tcPr>
            <w:tcW w:w="570"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rFonts w:ascii="Times New Roman" w:hAnsi="Times New Roman"/>
                <w:sz w:val="21"/>
                <w:szCs w:val="21"/>
              </w:rPr>
              <w:t>5</w:t>
            </w:r>
          </w:p>
        </w:tc>
        <w:tc>
          <w:tcPr>
            <w:tcW w:w="6532" w:type="dxa"/>
          </w:tcPr>
          <w:p w:rsidR="00F21BB2" w:rsidRPr="0006492F" w:rsidRDefault="00F21BB2" w:rsidP="00332895">
            <w:pPr>
              <w:pStyle w:val="Paragrafoelenco1"/>
              <w:spacing w:after="0" w:line="240" w:lineRule="auto"/>
              <w:ind w:left="0"/>
              <w:jc w:val="both"/>
              <w:rPr>
                <w:rFonts w:ascii="Times New Roman" w:hAnsi="Times New Roman"/>
                <w:sz w:val="21"/>
                <w:szCs w:val="21"/>
              </w:rPr>
            </w:pPr>
            <w:r w:rsidRPr="0006492F">
              <w:rPr>
                <w:rFonts w:ascii="Times New Roman" w:hAnsi="Times New Roman"/>
                <w:sz w:val="21"/>
                <w:szCs w:val="21"/>
              </w:rPr>
              <w:t>Commissione sul transato dei P.O.S. negoziazione carte Pagobancomat; per ogni riscossione con carta Pagobancomat verrà riconosciuta la percentuale sul transato offerta.</w:t>
            </w:r>
          </w:p>
        </w:tc>
        <w:tc>
          <w:tcPr>
            <w:tcW w:w="2279"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rFonts w:ascii="Times New Roman" w:hAnsi="Times New Roman"/>
                <w:sz w:val="21"/>
                <w:szCs w:val="21"/>
              </w:rPr>
              <w:t>Percentuale</w:t>
            </w:r>
          </w:p>
        </w:tc>
        <w:tc>
          <w:tcPr>
            <w:tcW w:w="1671" w:type="dxa"/>
          </w:tcPr>
          <w:p w:rsidR="00F21BB2" w:rsidRDefault="00F21BB2" w:rsidP="00332895">
            <w:pPr>
              <w:pStyle w:val="Paragrafoelenco1"/>
              <w:spacing w:after="0" w:line="240" w:lineRule="auto"/>
              <w:ind w:left="0"/>
              <w:jc w:val="center"/>
              <w:rPr>
                <w:rFonts w:ascii="Times New Roman" w:hAnsi="Times New Roman"/>
                <w:sz w:val="21"/>
                <w:szCs w:val="21"/>
              </w:rPr>
            </w:pPr>
          </w:p>
        </w:tc>
      </w:tr>
      <w:tr w:rsidR="00F21BB2" w:rsidRPr="00D53DF2" w:rsidTr="00F21BB2">
        <w:trPr>
          <w:jc w:val="center"/>
        </w:trPr>
        <w:tc>
          <w:tcPr>
            <w:tcW w:w="570"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rFonts w:ascii="Times New Roman" w:hAnsi="Times New Roman"/>
                <w:sz w:val="21"/>
                <w:szCs w:val="21"/>
              </w:rPr>
              <w:t>6</w:t>
            </w:r>
          </w:p>
        </w:tc>
        <w:tc>
          <w:tcPr>
            <w:tcW w:w="6532" w:type="dxa"/>
          </w:tcPr>
          <w:p w:rsidR="00F21BB2" w:rsidRPr="0006492F" w:rsidRDefault="00F21BB2" w:rsidP="00332895">
            <w:pPr>
              <w:pStyle w:val="Paragrafoelenco1"/>
              <w:spacing w:after="0" w:line="240" w:lineRule="auto"/>
              <w:ind w:left="0"/>
              <w:jc w:val="both"/>
              <w:rPr>
                <w:rFonts w:ascii="Times New Roman" w:hAnsi="Times New Roman"/>
                <w:sz w:val="21"/>
                <w:szCs w:val="21"/>
              </w:rPr>
            </w:pPr>
            <w:r w:rsidRPr="0006492F">
              <w:rPr>
                <w:rFonts w:ascii="Times New Roman" w:hAnsi="Times New Roman"/>
                <w:sz w:val="21"/>
                <w:szCs w:val="21"/>
              </w:rPr>
              <w:t>Commissione sul ritirato per l’eventuale richiesta di raccolta giornaliera di valori (banconote) presso la sede dei vari servizi aziendali con agenti riscossori con rendiconti resi separatamente: per ogni riscossione verrà riconosciuta la percentuale sul valore delle banconote ritirate offerta.</w:t>
            </w:r>
          </w:p>
        </w:tc>
        <w:tc>
          <w:tcPr>
            <w:tcW w:w="2279"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rFonts w:ascii="Times New Roman" w:hAnsi="Times New Roman"/>
                <w:sz w:val="21"/>
                <w:szCs w:val="21"/>
              </w:rPr>
              <w:t>Percentuale sul valore delle banconote</w:t>
            </w:r>
          </w:p>
        </w:tc>
        <w:tc>
          <w:tcPr>
            <w:tcW w:w="1671" w:type="dxa"/>
          </w:tcPr>
          <w:p w:rsidR="00F21BB2" w:rsidRDefault="00F21BB2" w:rsidP="00332895">
            <w:pPr>
              <w:pStyle w:val="Paragrafoelenco1"/>
              <w:spacing w:after="0" w:line="240" w:lineRule="auto"/>
              <w:ind w:left="0"/>
              <w:jc w:val="center"/>
              <w:rPr>
                <w:rFonts w:ascii="Times New Roman" w:hAnsi="Times New Roman"/>
                <w:sz w:val="21"/>
                <w:szCs w:val="21"/>
              </w:rPr>
            </w:pPr>
          </w:p>
        </w:tc>
      </w:tr>
      <w:tr w:rsidR="00F21BB2" w:rsidRPr="00D53DF2" w:rsidTr="00F21BB2">
        <w:trPr>
          <w:jc w:val="center"/>
        </w:trPr>
        <w:tc>
          <w:tcPr>
            <w:tcW w:w="570"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rFonts w:ascii="Times New Roman" w:hAnsi="Times New Roman"/>
                <w:sz w:val="21"/>
                <w:szCs w:val="21"/>
              </w:rPr>
              <w:t>7</w:t>
            </w:r>
          </w:p>
        </w:tc>
        <w:tc>
          <w:tcPr>
            <w:tcW w:w="6532" w:type="dxa"/>
          </w:tcPr>
          <w:p w:rsidR="00F21BB2" w:rsidRPr="0006492F" w:rsidRDefault="00F21BB2" w:rsidP="00332895">
            <w:pPr>
              <w:pStyle w:val="Paragrafoelenco1"/>
              <w:spacing w:after="0" w:line="240" w:lineRule="auto"/>
              <w:ind w:left="0"/>
              <w:jc w:val="both"/>
              <w:rPr>
                <w:rFonts w:ascii="Times New Roman" w:hAnsi="Times New Roman"/>
                <w:sz w:val="21"/>
                <w:szCs w:val="21"/>
              </w:rPr>
            </w:pPr>
            <w:r w:rsidRPr="0006492F">
              <w:rPr>
                <w:rFonts w:ascii="Times New Roman" w:hAnsi="Times New Roman"/>
                <w:sz w:val="21"/>
                <w:szCs w:val="21"/>
              </w:rPr>
              <w:t>Commissione sul ritirato per l’eventuale richiesta di raccolta giornaliera di valori (monete) presso la sede dei vari servizi aziendali con agenti riscossori con rendiconti resi separatamente: per ogni riscossione verrà riconosciuta la percentuale sul valore delle monete ritirate offerta.</w:t>
            </w:r>
          </w:p>
        </w:tc>
        <w:tc>
          <w:tcPr>
            <w:tcW w:w="2279"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rFonts w:ascii="Times New Roman" w:hAnsi="Times New Roman"/>
                <w:sz w:val="21"/>
                <w:szCs w:val="21"/>
              </w:rPr>
              <w:t>Percentuale sul valore delle monete</w:t>
            </w:r>
          </w:p>
        </w:tc>
        <w:tc>
          <w:tcPr>
            <w:tcW w:w="1671" w:type="dxa"/>
          </w:tcPr>
          <w:p w:rsidR="00F21BB2" w:rsidRDefault="00F21BB2" w:rsidP="00332895">
            <w:pPr>
              <w:pStyle w:val="Paragrafoelenco1"/>
              <w:spacing w:after="0" w:line="240" w:lineRule="auto"/>
              <w:ind w:left="0"/>
              <w:jc w:val="center"/>
              <w:rPr>
                <w:rFonts w:ascii="Times New Roman" w:hAnsi="Times New Roman"/>
                <w:sz w:val="21"/>
                <w:szCs w:val="21"/>
              </w:rPr>
            </w:pPr>
          </w:p>
        </w:tc>
      </w:tr>
      <w:tr w:rsidR="00F21BB2" w:rsidRPr="00D53DF2" w:rsidTr="00F21BB2">
        <w:trPr>
          <w:jc w:val="center"/>
        </w:trPr>
        <w:tc>
          <w:tcPr>
            <w:tcW w:w="570"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rFonts w:ascii="Times New Roman" w:hAnsi="Times New Roman"/>
                <w:sz w:val="21"/>
                <w:szCs w:val="21"/>
              </w:rPr>
              <w:t>8</w:t>
            </w:r>
          </w:p>
        </w:tc>
        <w:tc>
          <w:tcPr>
            <w:tcW w:w="6532" w:type="dxa"/>
          </w:tcPr>
          <w:p w:rsidR="00F21BB2" w:rsidRPr="0006492F" w:rsidRDefault="00F21BB2" w:rsidP="00332895">
            <w:pPr>
              <w:pStyle w:val="Paragrafoelenco1"/>
              <w:spacing w:after="0" w:line="240" w:lineRule="auto"/>
              <w:ind w:left="0"/>
              <w:jc w:val="both"/>
              <w:rPr>
                <w:rFonts w:ascii="Times New Roman" w:hAnsi="Times New Roman"/>
                <w:sz w:val="21"/>
                <w:szCs w:val="21"/>
              </w:rPr>
            </w:pPr>
            <w:r w:rsidRPr="0006492F">
              <w:rPr>
                <w:rFonts w:ascii="Times New Roman" w:hAnsi="Times New Roman"/>
                <w:sz w:val="21"/>
                <w:szCs w:val="21"/>
              </w:rPr>
              <w:t>Commissione sul transato dei P.O.S. negoziazione sui circuiti delle carte di credito; per ogni riscossione con carta di credito verrà riconosciuta la percentuale sul transato offerta.</w:t>
            </w:r>
          </w:p>
        </w:tc>
        <w:tc>
          <w:tcPr>
            <w:tcW w:w="2279"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rFonts w:ascii="Times New Roman" w:hAnsi="Times New Roman"/>
                <w:sz w:val="21"/>
                <w:szCs w:val="21"/>
              </w:rPr>
              <w:t>Percentuale</w:t>
            </w:r>
          </w:p>
        </w:tc>
        <w:tc>
          <w:tcPr>
            <w:tcW w:w="1671" w:type="dxa"/>
          </w:tcPr>
          <w:p w:rsidR="00F21BB2" w:rsidRDefault="00F21BB2" w:rsidP="00332895">
            <w:pPr>
              <w:pStyle w:val="Paragrafoelenco1"/>
              <w:spacing w:after="0" w:line="240" w:lineRule="auto"/>
              <w:ind w:left="0"/>
              <w:jc w:val="center"/>
              <w:rPr>
                <w:rFonts w:ascii="Times New Roman" w:hAnsi="Times New Roman"/>
                <w:sz w:val="21"/>
                <w:szCs w:val="21"/>
              </w:rPr>
            </w:pPr>
          </w:p>
        </w:tc>
      </w:tr>
      <w:tr w:rsidR="00F21BB2" w:rsidRPr="00D53DF2" w:rsidTr="00F21BB2">
        <w:trPr>
          <w:jc w:val="center"/>
        </w:trPr>
        <w:tc>
          <w:tcPr>
            <w:tcW w:w="570" w:type="dxa"/>
            <w:vAlign w:val="center"/>
          </w:tcPr>
          <w:p w:rsidR="00F21BB2" w:rsidRPr="0006492F" w:rsidRDefault="00F21BB2" w:rsidP="00332895">
            <w:pPr>
              <w:jc w:val="center"/>
              <w:rPr>
                <w:sz w:val="21"/>
                <w:szCs w:val="21"/>
              </w:rPr>
            </w:pPr>
            <w:r>
              <w:rPr>
                <w:sz w:val="21"/>
                <w:szCs w:val="21"/>
              </w:rPr>
              <w:t>9</w:t>
            </w:r>
          </w:p>
        </w:tc>
        <w:tc>
          <w:tcPr>
            <w:tcW w:w="6532" w:type="dxa"/>
          </w:tcPr>
          <w:p w:rsidR="00F21BB2" w:rsidRPr="0006492F" w:rsidRDefault="00F21BB2" w:rsidP="00332895">
            <w:pPr>
              <w:jc w:val="both"/>
              <w:rPr>
                <w:sz w:val="21"/>
                <w:szCs w:val="21"/>
              </w:rPr>
            </w:pPr>
            <w:r w:rsidRPr="0006492F">
              <w:rPr>
                <w:sz w:val="21"/>
                <w:szCs w:val="21"/>
              </w:rPr>
              <w:t>Tasso a debito per l’eventuale richiesta di rilascio di fideiussioni, su richiesta dell’A.S.L. per l’esecuzione di opere pubbliche, acquisti di cespiti, o a garanzia di adempimenti contrattuali, con riferimento a un possibile importo medio annuo stimato di euro 100.000.</w:t>
            </w:r>
          </w:p>
        </w:tc>
        <w:tc>
          <w:tcPr>
            <w:tcW w:w="2279" w:type="dxa"/>
            <w:vAlign w:val="center"/>
          </w:tcPr>
          <w:p w:rsidR="00F21BB2" w:rsidRPr="0006492F" w:rsidRDefault="00F21BB2" w:rsidP="00332895">
            <w:pPr>
              <w:jc w:val="center"/>
              <w:rPr>
                <w:sz w:val="21"/>
                <w:szCs w:val="21"/>
              </w:rPr>
            </w:pPr>
            <w:r>
              <w:rPr>
                <w:sz w:val="21"/>
                <w:szCs w:val="21"/>
              </w:rPr>
              <w:t>Tasso</w:t>
            </w:r>
          </w:p>
        </w:tc>
        <w:tc>
          <w:tcPr>
            <w:tcW w:w="1671" w:type="dxa"/>
          </w:tcPr>
          <w:p w:rsidR="00F21BB2" w:rsidRDefault="00F21BB2" w:rsidP="00332895">
            <w:pPr>
              <w:jc w:val="center"/>
              <w:rPr>
                <w:sz w:val="21"/>
                <w:szCs w:val="21"/>
              </w:rPr>
            </w:pPr>
          </w:p>
        </w:tc>
      </w:tr>
      <w:tr w:rsidR="00F21BB2" w:rsidRPr="00D53DF2" w:rsidTr="00F21BB2">
        <w:trPr>
          <w:jc w:val="center"/>
        </w:trPr>
        <w:tc>
          <w:tcPr>
            <w:tcW w:w="570"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rFonts w:ascii="Times New Roman" w:hAnsi="Times New Roman"/>
                <w:sz w:val="21"/>
                <w:szCs w:val="21"/>
              </w:rPr>
              <w:t>10</w:t>
            </w:r>
          </w:p>
        </w:tc>
        <w:tc>
          <w:tcPr>
            <w:tcW w:w="6532" w:type="dxa"/>
          </w:tcPr>
          <w:p w:rsidR="00F21BB2" w:rsidRPr="0006492F" w:rsidRDefault="00F21BB2" w:rsidP="00332895">
            <w:pPr>
              <w:pStyle w:val="Paragrafoelenco1"/>
              <w:spacing w:after="0" w:line="240" w:lineRule="auto"/>
              <w:ind w:left="0"/>
              <w:jc w:val="both"/>
              <w:rPr>
                <w:rFonts w:ascii="Times New Roman" w:hAnsi="Times New Roman"/>
                <w:sz w:val="21"/>
                <w:szCs w:val="21"/>
              </w:rPr>
            </w:pPr>
            <w:r w:rsidRPr="0006492F">
              <w:rPr>
                <w:rFonts w:ascii="Times New Roman" w:hAnsi="Times New Roman"/>
                <w:sz w:val="21"/>
                <w:szCs w:val="21"/>
              </w:rPr>
              <w:t>Tasso creditore annuo sulle giacenze dei conti correnti aperti necessari per lo svolgimento dell’attività (es. conto corrente della cassa economale); verrà corrisposto il tasso determinato con riferimento all’indice Euribor a tre mesi diminuito della percentuale indicata con aggiornamento del tasso all’inizio di ogni trimestre. Lo stesso tasso verrà corrisposto ai conti di tesoreria in capo all’A.S.L. “VC” eventualmente accesi presso il Tesoriere, per i quali precise norme legislative ne autorizzano l’attivazione.</w:t>
            </w:r>
          </w:p>
        </w:tc>
        <w:tc>
          <w:tcPr>
            <w:tcW w:w="2279"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sz w:val="21"/>
                <w:szCs w:val="21"/>
              </w:rPr>
              <w:t>Tasso creditore annuo</w:t>
            </w:r>
          </w:p>
        </w:tc>
        <w:tc>
          <w:tcPr>
            <w:tcW w:w="1671" w:type="dxa"/>
          </w:tcPr>
          <w:p w:rsidR="00F21BB2" w:rsidRDefault="00F21BB2" w:rsidP="00332895">
            <w:pPr>
              <w:pStyle w:val="Paragrafoelenco1"/>
              <w:spacing w:after="0" w:line="240" w:lineRule="auto"/>
              <w:ind w:left="0"/>
              <w:jc w:val="center"/>
              <w:rPr>
                <w:sz w:val="21"/>
                <w:szCs w:val="21"/>
              </w:rPr>
            </w:pPr>
          </w:p>
        </w:tc>
      </w:tr>
      <w:tr w:rsidR="00F21BB2" w:rsidRPr="00D53DF2" w:rsidTr="00F21BB2">
        <w:trPr>
          <w:jc w:val="center"/>
        </w:trPr>
        <w:tc>
          <w:tcPr>
            <w:tcW w:w="570"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rFonts w:ascii="Times New Roman" w:hAnsi="Times New Roman"/>
                <w:sz w:val="21"/>
                <w:szCs w:val="21"/>
              </w:rPr>
              <w:t>11</w:t>
            </w:r>
          </w:p>
        </w:tc>
        <w:tc>
          <w:tcPr>
            <w:tcW w:w="6532" w:type="dxa"/>
          </w:tcPr>
          <w:p w:rsidR="00F21BB2" w:rsidRPr="0006492F" w:rsidRDefault="00F21BB2" w:rsidP="00332895">
            <w:pPr>
              <w:pStyle w:val="Paragrafoelenco1"/>
              <w:spacing w:after="0" w:line="240" w:lineRule="auto"/>
              <w:ind w:left="0"/>
              <w:jc w:val="both"/>
              <w:rPr>
                <w:rFonts w:ascii="Times New Roman" w:hAnsi="Times New Roman"/>
                <w:sz w:val="21"/>
                <w:szCs w:val="21"/>
              </w:rPr>
            </w:pPr>
            <w:r w:rsidRPr="0006492F">
              <w:rPr>
                <w:rFonts w:ascii="Times New Roman" w:hAnsi="Times New Roman"/>
                <w:sz w:val="21"/>
                <w:szCs w:val="21"/>
              </w:rPr>
              <w:t>Canone annuo di locazione cassetta di sicurezza della dimensione minima disponibile.</w:t>
            </w:r>
          </w:p>
        </w:tc>
        <w:tc>
          <w:tcPr>
            <w:tcW w:w="2279" w:type="dxa"/>
            <w:vAlign w:val="center"/>
          </w:tcPr>
          <w:p w:rsidR="00F21BB2" w:rsidRPr="0006492F" w:rsidRDefault="00F21BB2" w:rsidP="00332895">
            <w:pPr>
              <w:pStyle w:val="Paragrafoelenco1"/>
              <w:spacing w:after="0" w:line="240" w:lineRule="auto"/>
              <w:ind w:left="0"/>
              <w:jc w:val="center"/>
              <w:rPr>
                <w:rFonts w:ascii="Times New Roman" w:hAnsi="Times New Roman"/>
                <w:sz w:val="21"/>
                <w:szCs w:val="21"/>
              </w:rPr>
            </w:pPr>
            <w:r>
              <w:rPr>
                <w:rFonts w:ascii="Times New Roman" w:hAnsi="Times New Roman"/>
                <w:sz w:val="21"/>
                <w:szCs w:val="21"/>
              </w:rPr>
              <w:t>Canone annuo</w:t>
            </w:r>
          </w:p>
        </w:tc>
        <w:tc>
          <w:tcPr>
            <w:tcW w:w="1671" w:type="dxa"/>
          </w:tcPr>
          <w:p w:rsidR="00F21BB2" w:rsidRDefault="00F21BB2" w:rsidP="00332895">
            <w:pPr>
              <w:pStyle w:val="Paragrafoelenco1"/>
              <w:spacing w:after="0" w:line="240" w:lineRule="auto"/>
              <w:ind w:left="0"/>
              <w:jc w:val="center"/>
              <w:rPr>
                <w:rFonts w:ascii="Times New Roman" w:hAnsi="Times New Roman"/>
                <w:sz w:val="21"/>
                <w:szCs w:val="21"/>
              </w:rPr>
            </w:pPr>
          </w:p>
        </w:tc>
      </w:tr>
    </w:tbl>
    <w:p w:rsidR="0024545F" w:rsidRDefault="0024545F" w:rsidP="0024545F">
      <w:pPr>
        <w:autoSpaceDE w:val="0"/>
        <w:autoSpaceDN w:val="0"/>
        <w:adjustRightInd w:val="0"/>
        <w:jc w:val="both"/>
      </w:pPr>
    </w:p>
    <w:p w:rsidR="0024545F" w:rsidRPr="004573D8" w:rsidRDefault="0024545F">
      <w:pPr>
        <w:rPr>
          <w:lang w:val="it-IT"/>
        </w:rPr>
      </w:pPr>
    </w:p>
    <w:p w:rsidR="0024545F" w:rsidRDefault="00845530">
      <w:pPr>
        <w:rPr>
          <w:rFonts w:ascii="Times New Roman" w:eastAsia="Times New Roman" w:hAnsi="Times New Roman" w:cs="Times New Roman"/>
          <w:szCs w:val="24"/>
          <w:lang w:val="it-IT" w:eastAsia="it-IT"/>
        </w:rPr>
      </w:pPr>
      <w:r w:rsidRPr="005055DD">
        <w:rPr>
          <w:rFonts w:ascii="Times New Roman" w:eastAsia="Times New Roman" w:hAnsi="Times New Roman" w:cs="Times New Roman"/>
          <w:szCs w:val="24"/>
          <w:lang w:val="it-IT" w:eastAsia="it-IT"/>
        </w:rPr>
        <w:t>Oneri della sicurezza da interferenza (non soggetti a ribasso)</w:t>
      </w:r>
      <w:r w:rsidR="00361D10">
        <w:rPr>
          <w:rFonts w:ascii="Times New Roman" w:eastAsia="Times New Roman" w:hAnsi="Times New Roman" w:cs="Times New Roman"/>
          <w:szCs w:val="24"/>
          <w:lang w:val="it-IT" w:eastAsia="it-IT"/>
        </w:rPr>
        <w:t>:</w:t>
      </w:r>
      <w:r w:rsidRPr="005055DD">
        <w:rPr>
          <w:rFonts w:ascii="Times New Roman" w:eastAsia="Times New Roman" w:hAnsi="Times New Roman" w:cs="Times New Roman"/>
          <w:szCs w:val="24"/>
          <w:lang w:val="it-IT" w:eastAsia="it-IT"/>
        </w:rPr>
        <w:t xml:space="preserve"> </w:t>
      </w:r>
    </w:p>
    <w:p w:rsidR="007C4A13" w:rsidRPr="005055DD" w:rsidRDefault="007C4A13">
      <w:pPr>
        <w:rPr>
          <w:rFonts w:ascii="Times New Roman" w:eastAsia="Times New Roman" w:hAnsi="Times New Roman" w:cs="Times New Roman"/>
          <w:szCs w:val="24"/>
          <w:lang w:val="it-IT" w:eastAsia="it-IT"/>
        </w:rPr>
      </w:pPr>
      <w:r w:rsidRPr="005055DD">
        <w:rPr>
          <w:rFonts w:ascii="Times New Roman" w:eastAsia="Times New Roman" w:hAnsi="Times New Roman" w:cs="Times New Roman"/>
          <w:szCs w:val="24"/>
          <w:lang w:val="it-IT" w:eastAsia="it-IT"/>
        </w:rPr>
        <w:lastRenderedPageBreak/>
        <w:t>Oneri di sicurezza aziendali:</w:t>
      </w:r>
    </w:p>
    <w:p w:rsidR="007C4A13" w:rsidRPr="005055DD" w:rsidRDefault="007C4A13">
      <w:pPr>
        <w:rPr>
          <w:rFonts w:ascii="Times New Roman" w:eastAsia="Times New Roman" w:hAnsi="Times New Roman" w:cs="Times New Roman"/>
          <w:szCs w:val="24"/>
          <w:lang w:val="it-IT" w:eastAsia="it-IT"/>
        </w:rPr>
      </w:pPr>
    </w:p>
    <w:p w:rsidR="007C4A13" w:rsidRPr="005055DD" w:rsidRDefault="007C4A13">
      <w:pPr>
        <w:rPr>
          <w:rFonts w:ascii="Times New Roman" w:eastAsia="Times New Roman" w:hAnsi="Times New Roman" w:cs="Times New Roman"/>
          <w:szCs w:val="24"/>
          <w:lang w:val="it-IT" w:eastAsia="it-IT"/>
        </w:rPr>
      </w:pPr>
      <w:r w:rsidRPr="005055DD">
        <w:rPr>
          <w:rFonts w:ascii="Times New Roman" w:eastAsia="Times New Roman" w:hAnsi="Times New Roman" w:cs="Times New Roman"/>
          <w:szCs w:val="24"/>
          <w:lang w:val="it-IT" w:eastAsia="it-IT"/>
        </w:rPr>
        <w:t>L’offerta dovrà contenere la dichiarazione che la Ditta nel redigerla ha:</w:t>
      </w:r>
    </w:p>
    <w:p w:rsidR="00D41A1B" w:rsidRPr="005055DD" w:rsidRDefault="00D41A1B" w:rsidP="00D41A1B">
      <w:pPr>
        <w:pStyle w:val="Paragrafoelenco"/>
        <w:numPr>
          <w:ilvl w:val="0"/>
          <w:numId w:val="1"/>
        </w:numPr>
        <w:rPr>
          <w:rFonts w:ascii="Times New Roman" w:eastAsia="Times New Roman" w:hAnsi="Times New Roman" w:cs="Times New Roman"/>
          <w:szCs w:val="24"/>
          <w:lang w:val="it-IT" w:eastAsia="it-IT"/>
        </w:rPr>
      </w:pPr>
      <w:r w:rsidRPr="005055DD">
        <w:rPr>
          <w:rFonts w:ascii="Times New Roman" w:eastAsia="Times New Roman" w:hAnsi="Times New Roman" w:cs="Times New Roman"/>
          <w:szCs w:val="24"/>
          <w:lang w:val="it-IT" w:eastAsia="it-IT"/>
        </w:rPr>
        <w:t xml:space="preserve">Tenuto conto degli obblighi relativi alle disposizioni in materia di sicurezza, condizioni di </w:t>
      </w:r>
      <w:r w:rsidR="00742580" w:rsidRPr="005055DD">
        <w:rPr>
          <w:rFonts w:ascii="Times New Roman" w:eastAsia="Times New Roman" w:hAnsi="Times New Roman" w:cs="Times New Roman"/>
          <w:szCs w:val="24"/>
          <w:lang w:val="it-IT" w:eastAsia="it-IT"/>
        </w:rPr>
        <w:t>lavoro, previdenza e assistenza;</w:t>
      </w:r>
    </w:p>
    <w:p w:rsidR="00742580" w:rsidRPr="005055DD" w:rsidRDefault="00742580" w:rsidP="00630E22">
      <w:pPr>
        <w:pStyle w:val="Paragrafoelenco"/>
        <w:numPr>
          <w:ilvl w:val="0"/>
          <w:numId w:val="1"/>
        </w:numPr>
        <w:jc w:val="both"/>
        <w:rPr>
          <w:rFonts w:ascii="Times New Roman" w:eastAsia="Times New Roman" w:hAnsi="Times New Roman" w:cs="Times New Roman"/>
          <w:szCs w:val="24"/>
          <w:lang w:val="it-IT" w:eastAsia="it-IT"/>
        </w:rPr>
      </w:pPr>
      <w:r w:rsidRPr="005055DD">
        <w:rPr>
          <w:rFonts w:ascii="Times New Roman" w:eastAsia="Times New Roman" w:hAnsi="Times New Roman" w:cs="Times New Roman"/>
          <w:szCs w:val="24"/>
          <w:lang w:val="it-IT" w:eastAsia="it-IT"/>
        </w:rPr>
        <w:t>Rispettato le disposizioni del Ministero del Lavoro e le tabelle costo orario relativamente al trattamento economico dei dipendenti e che, pertanto il costo del lavoro calcolato per formulare l’offerta non è inferiore al costo stabilito dal CCNL</w:t>
      </w:r>
      <w:r w:rsidR="00630E22" w:rsidRPr="005055DD">
        <w:rPr>
          <w:rFonts w:ascii="Times New Roman" w:eastAsia="Times New Roman" w:hAnsi="Times New Roman" w:cs="Times New Roman"/>
          <w:szCs w:val="24"/>
          <w:lang w:val="it-IT" w:eastAsia="it-IT"/>
        </w:rPr>
        <w:t xml:space="preserve"> Comparto Sanità.</w:t>
      </w:r>
    </w:p>
    <w:p w:rsidR="00630E22" w:rsidRPr="005055DD" w:rsidRDefault="00630E22" w:rsidP="00630E22">
      <w:pPr>
        <w:ind w:left="360"/>
        <w:jc w:val="both"/>
        <w:rPr>
          <w:rFonts w:ascii="Times New Roman" w:eastAsia="Times New Roman" w:hAnsi="Times New Roman" w:cs="Times New Roman"/>
          <w:szCs w:val="24"/>
          <w:lang w:val="it-IT" w:eastAsia="it-IT"/>
        </w:rPr>
      </w:pPr>
    </w:p>
    <w:p w:rsidR="00630E22" w:rsidRPr="005055DD" w:rsidRDefault="00630E22" w:rsidP="00630E22">
      <w:pPr>
        <w:ind w:left="360"/>
        <w:jc w:val="both"/>
        <w:rPr>
          <w:rFonts w:ascii="Times New Roman" w:eastAsia="Times New Roman" w:hAnsi="Times New Roman" w:cs="Times New Roman"/>
          <w:szCs w:val="24"/>
          <w:lang w:val="it-IT" w:eastAsia="it-IT"/>
        </w:rPr>
      </w:pPr>
    </w:p>
    <w:p w:rsidR="00630E22" w:rsidRPr="005055DD" w:rsidRDefault="00630E22" w:rsidP="00630E22">
      <w:pPr>
        <w:ind w:left="360"/>
        <w:jc w:val="both"/>
        <w:rPr>
          <w:rFonts w:ascii="Times New Roman" w:eastAsia="Times New Roman" w:hAnsi="Times New Roman" w:cs="Times New Roman"/>
          <w:szCs w:val="24"/>
          <w:lang w:val="it-IT" w:eastAsia="it-IT"/>
        </w:rPr>
      </w:pPr>
      <w:r w:rsidRPr="005055DD">
        <w:rPr>
          <w:rFonts w:ascii="Times New Roman" w:eastAsia="Times New Roman" w:hAnsi="Times New Roman" w:cs="Times New Roman"/>
          <w:szCs w:val="24"/>
          <w:lang w:val="it-IT" w:eastAsia="it-IT"/>
        </w:rPr>
        <w:t>L’offerta economica deve altresì contenere le seguenti dichiarazioni:</w:t>
      </w:r>
    </w:p>
    <w:p w:rsidR="00630E22" w:rsidRPr="005055DD" w:rsidRDefault="00F21950" w:rsidP="00630E22">
      <w:pPr>
        <w:pStyle w:val="Paragrafoelenco"/>
        <w:numPr>
          <w:ilvl w:val="0"/>
          <w:numId w:val="2"/>
        </w:numPr>
        <w:jc w:val="both"/>
        <w:rPr>
          <w:rFonts w:ascii="Times New Roman" w:eastAsia="Times New Roman" w:hAnsi="Times New Roman" w:cs="Times New Roman"/>
          <w:szCs w:val="24"/>
          <w:lang w:val="it-IT" w:eastAsia="it-IT"/>
        </w:rPr>
      </w:pPr>
      <w:r w:rsidRPr="005055DD">
        <w:rPr>
          <w:rFonts w:ascii="Times New Roman" w:eastAsia="Times New Roman" w:hAnsi="Times New Roman" w:cs="Times New Roman"/>
          <w:szCs w:val="24"/>
          <w:lang w:val="it-IT" w:eastAsia="it-IT"/>
        </w:rPr>
        <w:t>d</w:t>
      </w:r>
      <w:r w:rsidR="00630E22" w:rsidRPr="005055DD">
        <w:rPr>
          <w:rFonts w:ascii="Times New Roman" w:eastAsia="Times New Roman" w:hAnsi="Times New Roman" w:cs="Times New Roman"/>
          <w:szCs w:val="24"/>
          <w:lang w:val="it-IT" w:eastAsia="it-IT"/>
        </w:rPr>
        <w:t>i avere preso visione e di accettare, senza condizione o riserva alcuna, tutte le norme e disposizioni contenute nel bando di gara, nel disciplinare di gara, nel disciplinare tecnico e nei documenti ed allegati ivi richiamati;</w:t>
      </w:r>
    </w:p>
    <w:p w:rsidR="00630E22" w:rsidRPr="005055DD" w:rsidRDefault="00F21950" w:rsidP="00630E22">
      <w:pPr>
        <w:pStyle w:val="Paragrafoelenco"/>
        <w:numPr>
          <w:ilvl w:val="0"/>
          <w:numId w:val="2"/>
        </w:numPr>
        <w:jc w:val="both"/>
        <w:rPr>
          <w:rFonts w:ascii="Times New Roman" w:eastAsia="Times New Roman" w:hAnsi="Times New Roman" w:cs="Times New Roman"/>
          <w:szCs w:val="24"/>
          <w:lang w:val="it-IT" w:eastAsia="it-IT"/>
        </w:rPr>
      </w:pPr>
      <w:r w:rsidRPr="005055DD">
        <w:rPr>
          <w:rFonts w:ascii="Times New Roman" w:eastAsia="Times New Roman" w:hAnsi="Times New Roman" w:cs="Times New Roman"/>
          <w:szCs w:val="24"/>
          <w:lang w:val="it-IT" w:eastAsia="it-IT"/>
        </w:rPr>
        <w:t>d</w:t>
      </w:r>
      <w:r w:rsidR="00630E22" w:rsidRPr="005055DD">
        <w:rPr>
          <w:rFonts w:ascii="Times New Roman" w:eastAsia="Times New Roman" w:hAnsi="Times New Roman" w:cs="Times New Roman"/>
          <w:szCs w:val="24"/>
          <w:lang w:val="it-IT" w:eastAsia="it-IT"/>
        </w:rPr>
        <w:t>i aver valutato tutte le circostanze e condizioni contrattuali che possono influire sull’esecuzione del servizio e di aver considerato la propria offerta, nel suo complesso, congrua e remunerativa;</w:t>
      </w:r>
    </w:p>
    <w:p w:rsidR="00630E22" w:rsidRPr="005055DD" w:rsidRDefault="00F21950" w:rsidP="00630E22">
      <w:pPr>
        <w:pStyle w:val="Paragrafoelenco"/>
        <w:numPr>
          <w:ilvl w:val="0"/>
          <w:numId w:val="2"/>
        </w:numPr>
        <w:jc w:val="both"/>
        <w:rPr>
          <w:rFonts w:ascii="Times New Roman" w:eastAsia="Times New Roman" w:hAnsi="Times New Roman" w:cs="Times New Roman"/>
          <w:szCs w:val="24"/>
          <w:lang w:val="it-IT" w:eastAsia="it-IT"/>
        </w:rPr>
      </w:pPr>
      <w:r w:rsidRPr="005055DD">
        <w:rPr>
          <w:rFonts w:ascii="Times New Roman" w:eastAsia="Times New Roman" w:hAnsi="Times New Roman" w:cs="Times New Roman"/>
          <w:szCs w:val="24"/>
          <w:lang w:val="it-IT" w:eastAsia="it-IT"/>
        </w:rPr>
        <w:t>d</w:t>
      </w:r>
      <w:r w:rsidR="00630E22" w:rsidRPr="005055DD">
        <w:rPr>
          <w:rFonts w:ascii="Times New Roman" w:eastAsia="Times New Roman" w:hAnsi="Times New Roman" w:cs="Times New Roman"/>
          <w:szCs w:val="24"/>
          <w:lang w:val="it-IT" w:eastAsia="it-IT"/>
        </w:rPr>
        <w:t>i approvare specificatamente le clausole onerose del disciplinare di ga</w:t>
      </w:r>
      <w:r w:rsidRPr="005055DD">
        <w:rPr>
          <w:rFonts w:ascii="Times New Roman" w:eastAsia="Times New Roman" w:hAnsi="Times New Roman" w:cs="Times New Roman"/>
          <w:szCs w:val="24"/>
          <w:lang w:val="it-IT" w:eastAsia="it-IT"/>
        </w:rPr>
        <w:t>r</w:t>
      </w:r>
      <w:r w:rsidR="00630E22" w:rsidRPr="005055DD">
        <w:rPr>
          <w:rFonts w:ascii="Times New Roman" w:eastAsia="Times New Roman" w:hAnsi="Times New Roman" w:cs="Times New Roman"/>
          <w:szCs w:val="24"/>
          <w:lang w:val="it-IT" w:eastAsia="it-IT"/>
        </w:rPr>
        <w:t>a ai sensi e per gli effetti dell’articolo 1341</w:t>
      </w:r>
      <w:r w:rsidRPr="005055DD">
        <w:rPr>
          <w:rFonts w:ascii="Times New Roman" w:eastAsia="Times New Roman" w:hAnsi="Times New Roman" w:cs="Times New Roman"/>
          <w:szCs w:val="24"/>
          <w:lang w:val="it-IT" w:eastAsia="it-IT"/>
        </w:rPr>
        <w:t xml:space="preserve"> cod. civ.</w:t>
      </w:r>
    </w:p>
    <w:p w:rsidR="00F21950" w:rsidRPr="005055DD" w:rsidRDefault="00F21950" w:rsidP="00630E22">
      <w:pPr>
        <w:pStyle w:val="Paragrafoelenco"/>
        <w:numPr>
          <w:ilvl w:val="0"/>
          <w:numId w:val="2"/>
        </w:numPr>
        <w:jc w:val="both"/>
        <w:rPr>
          <w:rFonts w:ascii="Times New Roman" w:eastAsia="Times New Roman" w:hAnsi="Times New Roman" w:cs="Times New Roman"/>
          <w:szCs w:val="24"/>
          <w:lang w:val="it-IT" w:eastAsia="it-IT"/>
        </w:rPr>
      </w:pPr>
      <w:r w:rsidRPr="005055DD">
        <w:rPr>
          <w:rFonts w:ascii="Times New Roman" w:eastAsia="Times New Roman" w:hAnsi="Times New Roman" w:cs="Times New Roman"/>
          <w:szCs w:val="24"/>
          <w:lang w:val="it-IT" w:eastAsia="it-IT"/>
        </w:rPr>
        <w:t>di aver tenuto conto degli obblighi relativi alle disposizioni in materia di sicurezza, condizioni di lavoro, previdenza e assistenza;</w:t>
      </w:r>
    </w:p>
    <w:p w:rsidR="00F21950" w:rsidRPr="005055DD" w:rsidRDefault="00F21950" w:rsidP="00630E22">
      <w:pPr>
        <w:pStyle w:val="Paragrafoelenco"/>
        <w:numPr>
          <w:ilvl w:val="0"/>
          <w:numId w:val="2"/>
        </w:numPr>
        <w:jc w:val="both"/>
        <w:rPr>
          <w:rFonts w:ascii="Times New Roman" w:eastAsia="Times New Roman" w:hAnsi="Times New Roman" w:cs="Times New Roman"/>
          <w:szCs w:val="24"/>
          <w:lang w:val="it-IT" w:eastAsia="it-IT"/>
        </w:rPr>
      </w:pPr>
      <w:r w:rsidRPr="005055DD">
        <w:rPr>
          <w:rFonts w:ascii="Times New Roman" w:eastAsia="Times New Roman" w:hAnsi="Times New Roman" w:cs="Times New Roman"/>
          <w:szCs w:val="24"/>
          <w:lang w:val="it-IT" w:eastAsia="it-IT"/>
        </w:rPr>
        <w:t>di aver rispettato le disposizioni del Ministero del lavoro e le tabelle costo orario relativamente al trattamento economico dei dipendenti e che, pertanto, il costo del lavoro calcolato per formulare l’offerta non è inferiore al costo stabilito dal CCNL applicabile.</w:t>
      </w:r>
    </w:p>
    <w:p w:rsidR="005A50F1" w:rsidRPr="005055DD" w:rsidRDefault="005A50F1" w:rsidP="005A50F1">
      <w:pPr>
        <w:jc w:val="both"/>
        <w:rPr>
          <w:rFonts w:ascii="Times New Roman" w:eastAsia="Times New Roman" w:hAnsi="Times New Roman" w:cs="Times New Roman"/>
          <w:szCs w:val="24"/>
          <w:lang w:val="it-IT" w:eastAsia="it-IT"/>
        </w:rPr>
      </w:pPr>
    </w:p>
    <w:p w:rsidR="005A50F1" w:rsidRPr="005055DD" w:rsidRDefault="005A50F1" w:rsidP="005A50F1">
      <w:pPr>
        <w:jc w:val="both"/>
        <w:rPr>
          <w:rFonts w:ascii="Times New Roman" w:eastAsia="Times New Roman" w:hAnsi="Times New Roman" w:cs="Times New Roman"/>
          <w:szCs w:val="24"/>
          <w:lang w:val="it-IT" w:eastAsia="it-IT"/>
        </w:rPr>
      </w:pPr>
    </w:p>
    <w:p w:rsidR="005A50F1" w:rsidRPr="005055DD" w:rsidRDefault="005A50F1" w:rsidP="005A50F1">
      <w:pPr>
        <w:jc w:val="both"/>
        <w:rPr>
          <w:rFonts w:ascii="Times New Roman" w:eastAsia="Times New Roman" w:hAnsi="Times New Roman" w:cs="Times New Roman"/>
          <w:szCs w:val="24"/>
          <w:lang w:val="it-IT" w:eastAsia="it-IT"/>
        </w:rPr>
      </w:pPr>
      <w:r w:rsidRPr="005055DD">
        <w:rPr>
          <w:rFonts w:ascii="Times New Roman" w:eastAsia="Times New Roman" w:hAnsi="Times New Roman" w:cs="Times New Roman"/>
          <w:szCs w:val="24"/>
          <w:lang w:val="it-IT" w:eastAsia="it-IT"/>
        </w:rPr>
        <w:t>Luogo e data</w:t>
      </w:r>
    </w:p>
    <w:p w:rsidR="005A50F1" w:rsidRPr="005055DD" w:rsidRDefault="005A50F1" w:rsidP="005A50F1">
      <w:pPr>
        <w:jc w:val="both"/>
        <w:rPr>
          <w:rFonts w:ascii="Times New Roman" w:eastAsia="Times New Roman" w:hAnsi="Times New Roman" w:cs="Times New Roman"/>
          <w:szCs w:val="24"/>
          <w:lang w:val="it-IT" w:eastAsia="it-IT"/>
        </w:rPr>
      </w:pPr>
    </w:p>
    <w:p w:rsidR="005A50F1" w:rsidRPr="005055DD" w:rsidRDefault="005A50F1" w:rsidP="005A50F1">
      <w:pPr>
        <w:jc w:val="both"/>
        <w:rPr>
          <w:rFonts w:ascii="Times New Roman" w:eastAsia="Times New Roman" w:hAnsi="Times New Roman" w:cs="Times New Roman"/>
          <w:szCs w:val="24"/>
          <w:lang w:val="it-IT" w:eastAsia="it-IT"/>
        </w:rPr>
      </w:pPr>
    </w:p>
    <w:p w:rsidR="005A50F1" w:rsidRPr="005055DD" w:rsidRDefault="005A50F1" w:rsidP="005A50F1">
      <w:pPr>
        <w:jc w:val="both"/>
        <w:rPr>
          <w:rFonts w:ascii="Times New Roman" w:eastAsia="Times New Roman" w:hAnsi="Times New Roman" w:cs="Times New Roman"/>
          <w:szCs w:val="24"/>
          <w:lang w:val="it-IT" w:eastAsia="it-IT"/>
        </w:rPr>
      </w:pPr>
    </w:p>
    <w:p w:rsidR="005A50F1" w:rsidRPr="005055DD" w:rsidRDefault="0024545F" w:rsidP="005A50F1">
      <w:pPr>
        <w:jc w:val="both"/>
        <w:rPr>
          <w:rFonts w:ascii="Times New Roman" w:eastAsia="Times New Roman" w:hAnsi="Times New Roman" w:cs="Times New Roman"/>
          <w:szCs w:val="24"/>
          <w:lang w:val="it-IT" w:eastAsia="it-IT"/>
        </w:rPr>
      </w:pPr>
      <w:r>
        <w:rPr>
          <w:rFonts w:ascii="Times New Roman" w:eastAsia="Times New Roman" w:hAnsi="Times New Roman" w:cs="Times New Roman"/>
          <w:szCs w:val="24"/>
          <w:lang w:val="it-IT" w:eastAsia="it-IT"/>
        </w:rPr>
        <w:t xml:space="preserve">                                                                                                                                           </w:t>
      </w:r>
      <w:r w:rsidR="005A50F1" w:rsidRPr="005055DD">
        <w:rPr>
          <w:rFonts w:ascii="Times New Roman" w:eastAsia="Times New Roman" w:hAnsi="Times New Roman" w:cs="Times New Roman"/>
          <w:szCs w:val="24"/>
          <w:lang w:val="it-IT" w:eastAsia="it-IT"/>
        </w:rPr>
        <w:t>firma</w:t>
      </w:r>
    </w:p>
    <w:p w:rsidR="007C4A13" w:rsidRPr="004573D8" w:rsidRDefault="007C4A13" w:rsidP="00630E22">
      <w:pPr>
        <w:jc w:val="both"/>
        <w:rPr>
          <w:lang w:val="it-IT"/>
        </w:rPr>
      </w:pPr>
    </w:p>
    <w:sectPr w:rsidR="007C4A13" w:rsidRPr="004573D8" w:rsidSect="004573D8">
      <w:pgSz w:w="11906" w:h="16838"/>
      <w:pgMar w:top="170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BA4" w:rsidRDefault="00EB3BA4" w:rsidP="004573D8">
      <w:r>
        <w:separator/>
      </w:r>
    </w:p>
  </w:endnote>
  <w:endnote w:type="continuationSeparator" w:id="0">
    <w:p w:rsidR="00EB3BA4" w:rsidRDefault="00EB3BA4" w:rsidP="0045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BA4" w:rsidRDefault="00EB3BA4" w:rsidP="004573D8">
      <w:r>
        <w:separator/>
      </w:r>
    </w:p>
  </w:footnote>
  <w:footnote w:type="continuationSeparator" w:id="0">
    <w:p w:rsidR="00EB3BA4" w:rsidRDefault="00EB3BA4" w:rsidP="004573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5588A"/>
    <w:multiLevelType w:val="hybridMultilevel"/>
    <w:tmpl w:val="C01C80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584AC0"/>
    <w:multiLevelType w:val="hybridMultilevel"/>
    <w:tmpl w:val="E9F2A854"/>
    <w:lvl w:ilvl="0" w:tplc="F8A44B9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9D"/>
    <w:rsid w:val="0024545F"/>
    <w:rsid w:val="002F2E9C"/>
    <w:rsid w:val="00311486"/>
    <w:rsid w:val="00361D10"/>
    <w:rsid w:val="004573D8"/>
    <w:rsid w:val="005055DD"/>
    <w:rsid w:val="005A50F1"/>
    <w:rsid w:val="006305C3"/>
    <w:rsid w:val="00630E22"/>
    <w:rsid w:val="0066459D"/>
    <w:rsid w:val="006E1376"/>
    <w:rsid w:val="00742580"/>
    <w:rsid w:val="007C4A13"/>
    <w:rsid w:val="00845530"/>
    <w:rsid w:val="00D1125F"/>
    <w:rsid w:val="00D41A1B"/>
    <w:rsid w:val="00D611EC"/>
    <w:rsid w:val="00EB3BA4"/>
    <w:rsid w:val="00F21950"/>
    <w:rsid w:val="00F21BB2"/>
    <w:rsid w:val="00F9370B"/>
    <w:rsid w:val="00FB4D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DCAF"/>
  <w15:chartTrackingRefBased/>
  <w15:docId w15:val="{927900BD-A08C-4FAF-8C71-6F36FA3C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4573D8"/>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573D8"/>
    <w:pPr>
      <w:ind w:left="116"/>
    </w:pPr>
    <w:rPr>
      <w:rFonts w:ascii="Liberation Serif" w:eastAsia="Liberation Serif" w:hAnsi="Liberation Serif"/>
      <w:sz w:val="20"/>
      <w:szCs w:val="20"/>
    </w:rPr>
  </w:style>
  <w:style w:type="character" w:customStyle="1" w:styleId="CorpotestoCarattere">
    <w:name w:val="Corpo testo Carattere"/>
    <w:basedOn w:val="Carpredefinitoparagrafo"/>
    <w:link w:val="Corpotesto"/>
    <w:uiPriority w:val="1"/>
    <w:rsid w:val="004573D8"/>
    <w:rPr>
      <w:rFonts w:ascii="Liberation Serif" w:eastAsia="Liberation Serif" w:hAnsi="Liberation Serif"/>
      <w:sz w:val="20"/>
      <w:szCs w:val="20"/>
      <w:lang w:val="en-US"/>
    </w:rPr>
  </w:style>
  <w:style w:type="table" w:styleId="Grigliatabella">
    <w:name w:val="Table Grid"/>
    <w:basedOn w:val="Tabellanormale"/>
    <w:uiPriority w:val="59"/>
    <w:rsid w:val="004573D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573D8"/>
    <w:pPr>
      <w:tabs>
        <w:tab w:val="center" w:pos="4819"/>
        <w:tab w:val="right" w:pos="9638"/>
      </w:tabs>
    </w:pPr>
  </w:style>
  <w:style w:type="character" w:customStyle="1" w:styleId="IntestazioneCarattere">
    <w:name w:val="Intestazione Carattere"/>
    <w:basedOn w:val="Carpredefinitoparagrafo"/>
    <w:link w:val="Intestazione"/>
    <w:uiPriority w:val="99"/>
    <w:rsid w:val="004573D8"/>
    <w:rPr>
      <w:lang w:val="en-US"/>
    </w:rPr>
  </w:style>
  <w:style w:type="paragraph" w:styleId="Pidipagina">
    <w:name w:val="footer"/>
    <w:basedOn w:val="Normale"/>
    <w:link w:val="PidipaginaCarattere"/>
    <w:uiPriority w:val="99"/>
    <w:unhideWhenUsed/>
    <w:rsid w:val="004573D8"/>
    <w:pPr>
      <w:tabs>
        <w:tab w:val="center" w:pos="4819"/>
        <w:tab w:val="right" w:pos="9638"/>
      </w:tabs>
    </w:pPr>
  </w:style>
  <w:style w:type="character" w:customStyle="1" w:styleId="PidipaginaCarattere">
    <w:name w:val="Piè di pagina Carattere"/>
    <w:basedOn w:val="Carpredefinitoparagrafo"/>
    <w:link w:val="Pidipagina"/>
    <w:uiPriority w:val="99"/>
    <w:rsid w:val="004573D8"/>
    <w:rPr>
      <w:lang w:val="en-US"/>
    </w:rPr>
  </w:style>
  <w:style w:type="paragraph" w:styleId="Paragrafoelenco">
    <w:name w:val="List Paragraph"/>
    <w:basedOn w:val="Normale"/>
    <w:uiPriority w:val="34"/>
    <w:qFormat/>
    <w:rsid w:val="00D41A1B"/>
    <w:pPr>
      <w:ind w:left="720"/>
      <w:contextualSpacing/>
    </w:pPr>
  </w:style>
  <w:style w:type="paragraph" w:customStyle="1" w:styleId="PS">
    <w:name w:val="PS"/>
    <w:rsid w:val="005055DD"/>
    <w:pPr>
      <w:widowControl w:val="0"/>
      <w:spacing w:after="0" w:line="240" w:lineRule="auto"/>
      <w:jc w:val="both"/>
    </w:pPr>
    <w:rPr>
      <w:rFonts w:ascii="Courier" w:eastAsia="Times New Roman" w:hAnsi="Courier" w:cs="Times New Roman"/>
      <w:sz w:val="24"/>
      <w:szCs w:val="20"/>
      <w:lang w:eastAsia="it-IT"/>
    </w:rPr>
  </w:style>
  <w:style w:type="paragraph" w:customStyle="1" w:styleId="Paragrafoelenco1">
    <w:name w:val="Paragrafo elenco1"/>
    <w:basedOn w:val="Normale"/>
    <w:rsid w:val="0024545F"/>
    <w:pPr>
      <w:widowControl/>
      <w:spacing w:after="160" w:line="259" w:lineRule="auto"/>
      <w:ind w:left="720"/>
      <w:contextualSpacing/>
    </w:pPr>
    <w:rPr>
      <w:rFonts w:ascii="Calibri" w:eastAsia="Times New Roman" w:hAnsi="Calibri"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734</Words>
  <Characters>4189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Torrisi</dc:creator>
  <cp:keywords/>
  <dc:description/>
  <cp:lastModifiedBy>Antonio Scalia</cp:lastModifiedBy>
  <cp:revision>9</cp:revision>
  <dcterms:created xsi:type="dcterms:W3CDTF">2019-11-21T13:12:00Z</dcterms:created>
  <dcterms:modified xsi:type="dcterms:W3CDTF">2019-12-02T14:12:00Z</dcterms:modified>
</cp:coreProperties>
</file>